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EC" w:rsidRPr="001040EC" w:rsidRDefault="001040EC" w:rsidP="001040EC">
      <w:pPr>
        <w:snapToGrid w:val="0"/>
        <w:spacing w:line="360" w:lineRule="auto"/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bookmarkStart w:id="0" w:name="_GoBack"/>
      <w:bookmarkEnd w:id="0"/>
    </w:p>
    <w:p w:rsidR="001040EC" w:rsidRPr="001040EC" w:rsidRDefault="001040EC" w:rsidP="001040EC">
      <w:pPr>
        <w:snapToGrid w:val="0"/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r w:rsidRPr="001040EC">
        <w:rPr>
          <w:rFonts w:ascii="宋体" w:eastAsia="宋体" w:hAnsi="宋体" w:cs="Times New Roman" w:hint="eastAsia"/>
          <w:b/>
          <w:color w:val="000000"/>
          <w:sz w:val="32"/>
          <w:szCs w:val="32"/>
        </w:rPr>
        <w:t>主要统计指标解释</w:t>
      </w:r>
    </w:p>
    <w:p w:rsidR="001040EC" w:rsidRPr="001040EC" w:rsidRDefault="001040EC" w:rsidP="001040EC">
      <w:pPr>
        <w:snapToGrid w:val="0"/>
        <w:spacing w:line="360" w:lineRule="exact"/>
        <w:rPr>
          <w:rFonts w:ascii="宋体" w:eastAsia="宋体" w:hAnsi="宋体" w:cs="Times New Roman"/>
          <w:color w:val="000000"/>
          <w:sz w:val="32"/>
          <w:szCs w:val="32"/>
        </w:rPr>
      </w:pP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存货</w:t>
      </w:r>
      <w:r w:rsidRPr="001040EC">
        <w:rPr>
          <w:rFonts w:ascii="Times New Roman" w:eastAsia="宋体" w:hAnsi="Times New Roman" w:cs="Times New Roman" w:hint="eastAsia"/>
          <w:szCs w:val="24"/>
        </w:rPr>
        <w:t>指企业在日常活动中持有以备出售的产成品或商品、处在生产过程中的在产品、在生产过程或提供劳务过程中耗用的材料或物料等，通常包括原材料、在产品、半成品、产成品、商品以及周转材料等。根据会计“资产负债表”中“存货”项目的期末余额数填报。其中：“年初存货”根据会计“资产负债表”中“存货”项目的年初余额数填报。注意：“存货”具有实物形态，不属于无形资产，由于企业持有存货的最终目的是为了出售，所以房地产开发企业（单位）购置的土地、尚未销售的商品房等均计入“存货”。</w:t>
      </w:r>
    </w:p>
    <w:p w:rsidR="001040EC" w:rsidRPr="001040EC" w:rsidRDefault="001040EC" w:rsidP="001040EC">
      <w:pPr>
        <w:spacing w:line="360" w:lineRule="exact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szCs w:val="24"/>
        </w:rPr>
        <w:t>流动资产合计资产满足以下条件之一应归为流动资产：（</w:t>
      </w:r>
      <w:r w:rsidRPr="001040EC">
        <w:rPr>
          <w:rFonts w:ascii="Times New Roman" w:eastAsia="宋体" w:hAnsi="Times New Roman" w:cs="Times New Roman"/>
          <w:szCs w:val="24"/>
        </w:rPr>
        <w:t>1</w:t>
      </w:r>
      <w:r w:rsidRPr="001040EC">
        <w:rPr>
          <w:rFonts w:ascii="Times New Roman" w:eastAsia="宋体" w:hAnsi="Times New Roman" w:cs="Times New Roman" w:hint="eastAsia"/>
          <w:szCs w:val="24"/>
        </w:rPr>
        <w:t>）预计在一个正常营业周期中变现、出售或耗用，主要包括存货、应收账款等；（</w:t>
      </w:r>
      <w:r w:rsidRPr="001040EC">
        <w:rPr>
          <w:rFonts w:ascii="Times New Roman" w:eastAsia="宋体" w:hAnsi="Times New Roman" w:cs="Times New Roman"/>
          <w:szCs w:val="24"/>
        </w:rPr>
        <w:t>2</w:t>
      </w:r>
      <w:r w:rsidRPr="001040EC">
        <w:rPr>
          <w:rFonts w:ascii="Times New Roman" w:eastAsia="宋体" w:hAnsi="Times New Roman" w:cs="Times New Roman" w:hint="eastAsia"/>
          <w:szCs w:val="24"/>
        </w:rPr>
        <w:t>）主要为交易目的而持有；（</w:t>
      </w:r>
      <w:r w:rsidRPr="001040EC">
        <w:rPr>
          <w:rFonts w:ascii="Times New Roman" w:eastAsia="宋体" w:hAnsi="Times New Roman" w:cs="Times New Roman"/>
          <w:szCs w:val="24"/>
        </w:rPr>
        <w:t>3</w:t>
      </w:r>
      <w:r w:rsidRPr="001040EC">
        <w:rPr>
          <w:rFonts w:ascii="Times New Roman" w:eastAsia="宋体" w:hAnsi="Times New Roman" w:cs="Times New Roman" w:hint="eastAsia"/>
          <w:szCs w:val="24"/>
        </w:rPr>
        <w:t>）预计在资产负债表日起一年内（含一年）变现；（</w:t>
      </w:r>
      <w:r w:rsidRPr="001040EC">
        <w:rPr>
          <w:rFonts w:ascii="Times New Roman" w:eastAsia="宋体" w:hAnsi="Times New Roman" w:cs="Times New Roman"/>
          <w:szCs w:val="24"/>
        </w:rPr>
        <w:t>4</w:t>
      </w:r>
      <w:r w:rsidRPr="001040EC">
        <w:rPr>
          <w:rFonts w:ascii="Times New Roman" w:eastAsia="宋体" w:hAnsi="Times New Roman" w:cs="Times New Roman" w:hint="eastAsia"/>
          <w:szCs w:val="24"/>
        </w:rPr>
        <w:t>）自资产负债表日起一年内，交换其他资产或清偿负债的能力不受限制的现金或现金等价物。包括货币资金、应收票据、应收账款、存货等项目。根据会计“资产负债表”中“流动资产合计”项目的期末余额数填报。</w:t>
      </w:r>
    </w:p>
    <w:p w:rsidR="001040EC" w:rsidRPr="001040EC" w:rsidRDefault="001040EC" w:rsidP="001040EC">
      <w:pPr>
        <w:spacing w:line="360" w:lineRule="exact"/>
        <w:ind w:firstLineChars="150" w:firstLine="316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应收账款</w:t>
      </w:r>
      <w:r w:rsidRPr="001040EC">
        <w:rPr>
          <w:rFonts w:ascii="Times New Roman" w:eastAsia="宋体" w:hAnsi="Times New Roman" w:cs="Times New Roman" w:hint="eastAsia"/>
          <w:szCs w:val="24"/>
        </w:rPr>
        <w:t>指资产负债表日以摊余成本计量的、企业因销售商品、提供服务等经营活动应收取的款项。根据会计“资产负债表”中“应收账款”项目的期末余额数填报。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固定资产原价</w:t>
      </w:r>
      <w:r w:rsidRPr="001040EC">
        <w:rPr>
          <w:rFonts w:ascii="Times New Roman" w:eastAsia="宋体" w:hAnsi="Times New Roman" w:cs="Times New Roman" w:hint="eastAsia"/>
          <w:szCs w:val="24"/>
        </w:rPr>
        <w:t>指固定资产的成本，包括企业在购置、自行建造、安装、改建、扩建、技术改造某项固定资产时所发生的全部支出总额。根据会计“固定资产”科目的期末借方余额填报。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房屋和构筑物</w:t>
      </w:r>
      <w:r w:rsidRPr="001040EC">
        <w:rPr>
          <w:rFonts w:ascii="Times New Roman" w:eastAsia="宋体" w:hAnsi="Times New Roman" w:cs="Times New Roman" w:hint="eastAsia"/>
          <w:szCs w:val="24"/>
        </w:rPr>
        <w:t>指产权属于本企业的所有房屋和构筑物，包括办公楼、仓库、宿舍等。根据会计核算中“固定资产原价”有关二级科目的期末余额数归并填报。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机器设备</w:t>
      </w:r>
      <w:r w:rsidRPr="001040EC">
        <w:rPr>
          <w:rFonts w:ascii="Times New Roman" w:eastAsia="宋体" w:hAnsi="Times New Roman" w:cs="Times New Roman" w:hint="eastAsia"/>
          <w:szCs w:val="24"/>
        </w:rPr>
        <w:t>指为生产商品、提供劳务、出租或经营管理持有的各种机器、设备。根据会计核算中“固定资产原价”有关二级科目的期末余额数归并填报。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累计折旧</w:t>
      </w:r>
      <w:r w:rsidRPr="001040EC">
        <w:rPr>
          <w:rFonts w:ascii="Times New Roman" w:eastAsia="宋体" w:hAnsi="Times New Roman" w:cs="Times New Roman" w:hint="eastAsia"/>
          <w:szCs w:val="24"/>
        </w:rPr>
        <w:t>指企业在报告期末提取的历年固定资产折旧累计数。包括房屋、建筑物和机器设备等的折旧费。根据会计“累计折旧”科目的期末贷方余额填报。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本年折旧</w:t>
      </w:r>
      <w:r w:rsidRPr="001040EC">
        <w:rPr>
          <w:rFonts w:ascii="Times New Roman" w:eastAsia="宋体" w:hAnsi="Times New Roman" w:cs="Times New Roman" w:hint="eastAsia"/>
          <w:szCs w:val="24"/>
        </w:rPr>
        <w:t>指企业在报告期内提取的固定资产折旧合计数。可根据会计“累计折旧”科目的本期贷方累计发生额填报；或者，可根据会计“财务状况变动表”中“固定资产折旧”项的数值填报。若企业执行</w:t>
      </w:r>
      <w:r w:rsidRPr="001040EC">
        <w:rPr>
          <w:rFonts w:ascii="Times New Roman" w:eastAsia="宋体" w:hAnsi="Times New Roman" w:cs="Times New Roman"/>
          <w:szCs w:val="24"/>
        </w:rPr>
        <w:t>2001</w:t>
      </w:r>
      <w:r w:rsidRPr="001040EC">
        <w:rPr>
          <w:rFonts w:ascii="Times New Roman" w:eastAsia="宋体" w:hAnsi="Times New Roman" w:cs="Times New Roman" w:hint="eastAsia"/>
          <w:szCs w:val="24"/>
        </w:rPr>
        <w:t>年《企业会计制度》，可以根据会计核算中《资产减值准备、投资及固定资产情况表》内“当年计提的固定资产折旧总额”项本年增加数填报。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无形资产</w:t>
      </w:r>
      <w:r w:rsidRPr="001040EC">
        <w:rPr>
          <w:rFonts w:ascii="Times New Roman" w:eastAsia="宋体" w:hAnsi="Times New Roman" w:cs="Times New Roman" w:hint="eastAsia"/>
          <w:szCs w:val="24"/>
        </w:rPr>
        <w:t>指调查单位拥有或者控制的没有实物形态的可辨认非货币性资产，无形资产通常包括专利权、非专利技术、商标权、著作权、特许权、土地使用权等。根据会计“资产负债表”中“无形资产”项目的期末余额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土地使用权</w:t>
      </w:r>
      <w:r w:rsidRPr="001040EC">
        <w:rPr>
          <w:rFonts w:ascii="Times New Roman" w:eastAsia="宋体" w:hAnsi="Times New Roman" w:cs="Times New Roman" w:hint="eastAsia"/>
          <w:szCs w:val="24"/>
        </w:rPr>
        <w:t>指国家准许某企业在一定期间内对国有土地享有开发、利用、经营的权利。根据会计“无形资产”科目计算填报。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资产总计</w:t>
      </w:r>
      <w:r w:rsidRPr="001040EC">
        <w:rPr>
          <w:rFonts w:ascii="Times New Roman" w:eastAsia="宋体" w:hAnsi="Times New Roman" w:cs="Times New Roman" w:hint="eastAsia"/>
          <w:szCs w:val="24"/>
        </w:rPr>
        <w:t>指企业过去的交易或者事项形成的、由企业拥有或者控制的、预期会给企业带来经济利益的资源。包括企业拥有的土地、办公楼、厂房、机器、运输工具、存货等实物资产和现金、存款、应收账款和预付账款等金融资产。资产一般按流动性（资产的变现或耗用</w:t>
      </w:r>
      <w:r w:rsidRPr="001040EC">
        <w:rPr>
          <w:rFonts w:ascii="Times New Roman" w:eastAsia="宋体" w:hAnsi="Times New Roman" w:cs="Times New Roman" w:hint="eastAsia"/>
          <w:szCs w:val="24"/>
        </w:rPr>
        <w:lastRenderedPageBreak/>
        <w:t>时间长短）分为流动资产和非流动资产。其中流动资产可分为货币资金、交易性金融资产、应收票据、应收账款、预付款项、其他应收款、存货等；非流动资产可分为长期股权投资、固定资产、无形资产及其他非流动资产等。根据会计“资产负债表”中“资产总计”项目的期末余额数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负债合计</w:t>
      </w:r>
      <w:r w:rsidRPr="001040EC">
        <w:rPr>
          <w:rFonts w:ascii="Times New Roman" w:eastAsia="宋体" w:hAnsi="Times New Roman" w:cs="Times New Roman" w:hint="eastAsia"/>
          <w:szCs w:val="24"/>
        </w:rPr>
        <w:t>指企业过去的交易或者事项形成的，预期会导致经济利益流出企业的现时义务。包括银行贷款、借款、应付账款、应付职工工资、应付职工福利费、应交税金等企业负有偿还责任的债务。根据会计“资产负债表”中“负债合计”项目的期末余额数填报。</w:t>
      </w:r>
    </w:p>
    <w:p w:rsidR="001040EC" w:rsidRPr="001040EC" w:rsidRDefault="001040EC" w:rsidP="001040EC">
      <w:pPr>
        <w:spacing w:line="360" w:lineRule="exact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szCs w:val="24"/>
        </w:rPr>
        <w:t>负债一般按偿还期长短分为流动负债和非流动负债。根据会计资产负债表中“负债合计”项目的期末余额数填报。执行企业会计准则或《小企业会计准则》的企业：负债合计</w:t>
      </w:r>
      <w:r w:rsidRPr="001040EC">
        <w:rPr>
          <w:rFonts w:ascii="Times New Roman" w:eastAsia="宋体" w:hAnsi="Times New Roman" w:cs="Times New Roman"/>
          <w:szCs w:val="24"/>
        </w:rPr>
        <w:t>=</w:t>
      </w:r>
      <w:r w:rsidRPr="001040EC">
        <w:rPr>
          <w:rFonts w:ascii="Times New Roman" w:eastAsia="宋体" w:hAnsi="Times New Roman" w:cs="Times New Roman" w:hint="eastAsia"/>
          <w:szCs w:val="24"/>
        </w:rPr>
        <w:t>流动负债合计</w:t>
      </w:r>
      <w:r w:rsidRPr="001040EC">
        <w:rPr>
          <w:rFonts w:ascii="Times New Roman" w:eastAsia="宋体" w:hAnsi="Times New Roman" w:cs="Times New Roman"/>
          <w:szCs w:val="24"/>
        </w:rPr>
        <w:t>+</w:t>
      </w:r>
      <w:r w:rsidRPr="001040EC">
        <w:rPr>
          <w:rFonts w:ascii="Times New Roman" w:eastAsia="宋体" w:hAnsi="Times New Roman" w:cs="Times New Roman" w:hint="eastAsia"/>
          <w:szCs w:val="24"/>
        </w:rPr>
        <w:t>非流动负债合计；执行其他企业会计制度的企业负债包括流动负债和长期负债。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所有者权益合计</w:t>
      </w:r>
      <w:r w:rsidRPr="001040EC">
        <w:rPr>
          <w:rFonts w:ascii="Times New Roman" w:eastAsia="宋体" w:hAnsi="Times New Roman" w:cs="Times New Roman" w:hint="eastAsia"/>
          <w:szCs w:val="24"/>
        </w:rPr>
        <w:t>指企业资产扣除负债后由所有者享有的剩余权益。公司的所有者权益又称股东权益。包括实收资本、资本公积、盈余公积、未分配利润等。根据会计“资产负债表”中“所有者权益合计”项目的期末余额数填报。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实收资本</w:t>
      </w:r>
      <w:r w:rsidRPr="001040EC">
        <w:rPr>
          <w:rFonts w:ascii="Times New Roman" w:eastAsia="宋体" w:hAnsi="Times New Roman" w:cs="Times New Roman" w:hint="eastAsia"/>
          <w:szCs w:val="24"/>
        </w:rPr>
        <w:t>指企业各投资者实际投入的资本（或股本）总额，包括货币、实物、无形资产等各种形式的投入。实收资本按投资主体可分为国家资本、集体资本、法人资本、个人资本、港澳台资本和外商资本。根据会计“资产负债表”中“所有者权益”项下“实收资本”的期末余额数填报。</w:t>
      </w:r>
    </w:p>
    <w:p w:rsidR="001040EC" w:rsidRPr="001040EC" w:rsidRDefault="001040EC" w:rsidP="001040EC">
      <w:pPr>
        <w:spacing w:line="360" w:lineRule="exact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szCs w:val="24"/>
        </w:rPr>
        <w:t>个人资本指自然人实际投入企业的资本金。根据会计“实收资本”科目计算填报。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营业收入</w:t>
      </w:r>
      <w:r w:rsidRPr="001040EC">
        <w:rPr>
          <w:rFonts w:ascii="Times New Roman" w:eastAsia="宋体" w:hAnsi="Times New Roman" w:cs="Times New Roman" w:hint="eastAsia"/>
          <w:szCs w:val="24"/>
        </w:rPr>
        <w:t>指企业从事销售商品、提供劳务和让渡资产使用权等生产经营活动形成的经济利益流入。营业收入包括“主营业务收入”和“其他业务收入”。根据会计“利润表”中“营业收入”项目的本年累计数填报。</w:t>
      </w:r>
    </w:p>
    <w:p w:rsidR="001040EC" w:rsidRPr="001040EC" w:rsidRDefault="001040EC" w:rsidP="001040EC">
      <w:pPr>
        <w:spacing w:line="360" w:lineRule="exact"/>
        <w:ind w:firstLineChars="200" w:firstLine="422"/>
        <w:rPr>
          <w:rFonts w:ascii="Times New Roman" w:eastAsia="宋体" w:hAnsi="Times New Roman" w:cs="Times New Roman"/>
          <w:szCs w:val="24"/>
        </w:rPr>
      </w:pPr>
      <w:r w:rsidRPr="001040EC">
        <w:rPr>
          <w:rFonts w:ascii="Times New Roman" w:eastAsia="宋体" w:hAnsi="Times New Roman" w:cs="Times New Roman" w:hint="eastAsia"/>
          <w:b/>
          <w:szCs w:val="24"/>
        </w:rPr>
        <w:t>净服务收入</w:t>
      </w:r>
      <w:r w:rsidRPr="001040EC">
        <w:rPr>
          <w:rFonts w:ascii="Times New Roman" w:eastAsia="宋体" w:hAnsi="Times New Roman" w:cs="Times New Roman" w:hint="eastAsia"/>
          <w:szCs w:val="24"/>
        </w:rPr>
        <w:t>指企业各类经营活动所确认的营业收入中，单纯反映提供服务所获得的收入。不应包含经营或外包农、林、牧。</w:t>
      </w:r>
    </w:p>
    <w:sectPr w:rsidR="001040EC" w:rsidRPr="001040EC" w:rsidSect="001C66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296" w:rsidRDefault="00972296" w:rsidP="00495535">
      <w:r>
        <w:separator/>
      </w:r>
    </w:p>
  </w:endnote>
  <w:endnote w:type="continuationSeparator" w:id="1">
    <w:p w:rsidR="00972296" w:rsidRDefault="00972296" w:rsidP="00495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296" w:rsidRDefault="00972296" w:rsidP="00495535">
      <w:r>
        <w:separator/>
      </w:r>
    </w:p>
  </w:footnote>
  <w:footnote w:type="continuationSeparator" w:id="1">
    <w:p w:rsidR="00972296" w:rsidRDefault="00972296" w:rsidP="004955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40EC"/>
    <w:rsid w:val="001040EC"/>
    <w:rsid w:val="001C662A"/>
    <w:rsid w:val="003E4967"/>
    <w:rsid w:val="00495535"/>
    <w:rsid w:val="00972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5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55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55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55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Company>微软中国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2</cp:revision>
  <dcterms:created xsi:type="dcterms:W3CDTF">2022-01-05T08:14:00Z</dcterms:created>
  <dcterms:modified xsi:type="dcterms:W3CDTF">2022-01-05T08:18:00Z</dcterms:modified>
</cp:coreProperties>
</file>